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C52B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95" w:afterAutospacing="0"/>
        <w:ind w:left="0" w:firstLine="0"/>
        <w:jc w:val="center"/>
        <w:rPr>
          <w:rFonts w:hint="default" w:asciiTheme="minorHAnsi" w:hAnsiTheme="minorHAnsi" w:eastAsiaTheme="minorEastAsia" w:cstheme="minorBidi"/>
          <w:b/>
          <w:bCs w:val="0"/>
          <w:kern w:val="44"/>
          <w:sz w:val="44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/>
          <w:bCs w:val="0"/>
          <w:kern w:val="44"/>
          <w:sz w:val="44"/>
          <w:szCs w:val="24"/>
          <w:lang w:val="en-US" w:eastAsia="zh-CN" w:bidi="ar-SA"/>
        </w:rPr>
        <w:t>国家电力投资集团有限公司</w:t>
      </w:r>
    </w:p>
    <w:p w14:paraId="1654494E">
      <w:pPr>
        <w:rPr>
          <w:rFonts w:hint="eastAsia"/>
          <w:lang w:val="en-US" w:eastAsia="zh-CN"/>
        </w:rPr>
      </w:pPr>
    </w:p>
    <w:p w14:paraId="35F124A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</w:rPr>
        <w:t>一、公司简介</w:t>
      </w:r>
    </w:p>
    <w:p w14:paraId="54F86654">
      <w:pPr>
        <w:keepNext w:val="0"/>
        <w:keepLines w:val="0"/>
        <w:widowControl/>
        <w:suppressLineNumbers w:val="0"/>
        <w:shd w:val="clear" w:fill="FFFFFF"/>
        <w:ind w:left="0" w:firstLine="420"/>
        <w:jc w:val="left"/>
        <w:rPr>
          <w:rFonts w:hint="default" w:ascii="仿宋" w:hAnsi="仿宋" w:eastAsia="仿宋" w:cs="仿宋"/>
          <w:i w:val="0"/>
          <w:iCs w:val="0"/>
          <w:caps w:val="0"/>
          <w:color w:val="404040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404040"/>
          <w:spacing w:val="0"/>
          <w:kern w:val="0"/>
          <w:sz w:val="30"/>
          <w:szCs w:val="30"/>
          <w:lang w:val="en-US" w:eastAsia="zh-CN" w:bidi="ar"/>
        </w:rPr>
        <w:t>国家电力投资集团有限公司（简称“国家电投”）是中央直接管理的特大型国有重要骨干企业，成立于2015年7月，由原中国电力投资国家电投与国家核电技术有限公司重组组建。国家电投是我国五大发电集团之一，主要业务包括电力、煤电铝路港协同产业、产业金融及氢能、储能、绿电交通、核能综合利用、综合智慧能源、碳市场和碳交易等“三新”产业。拥有光伏发电、风电、水电、核电、煤电、气电、生物质发电等全部电源品种，是全球最大的新能源发电企业和光伏发电企业。</w:t>
      </w:r>
    </w:p>
    <w:p w14:paraId="2CB693F5">
      <w:pPr>
        <w:keepNext w:val="0"/>
        <w:keepLines w:val="0"/>
        <w:widowControl/>
        <w:suppressLineNumbers w:val="0"/>
        <w:shd w:val="clear" w:fill="FFFFFF"/>
        <w:ind w:left="0" w:firstLine="420"/>
        <w:jc w:val="left"/>
        <w:rPr>
          <w:rFonts w:hint="default" w:ascii="仿宋" w:hAnsi="仿宋" w:eastAsia="仿宋" w:cs="仿宋"/>
          <w:i w:val="0"/>
          <w:iCs w:val="0"/>
          <w:caps w:val="0"/>
          <w:color w:val="404040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404040"/>
          <w:spacing w:val="0"/>
          <w:kern w:val="0"/>
          <w:sz w:val="30"/>
          <w:szCs w:val="30"/>
          <w:lang w:val="en-US" w:eastAsia="zh-CN" w:bidi="ar"/>
        </w:rPr>
        <w:t>拥有全球最先进的非能动三代核电技术，负责牵头实施两个国家科技重大专项，是“能源工业互联网”平台建设任务的主责单位。国家电投注册资本金350亿元，资产规模1.46万亿元，电力装机1.88亿千瓦，其中清洁能源装机突破1亿千瓦，占比59.52%；员工总数13万人，所属二级单位61家，拥有5家A股上市公司、1家香港红筹股上市公司和2家新三板挂牌交易公司。2021年度，国家电投位列世界500强企业第293位，业务范围覆盖全球46个国家和地区。</w:t>
      </w:r>
    </w:p>
    <w:p w14:paraId="432A41CE">
      <w:pPr>
        <w:keepNext w:val="0"/>
        <w:keepLines w:val="0"/>
        <w:widowControl/>
        <w:suppressLineNumbers w:val="0"/>
        <w:shd w:val="clear" w:fill="FFFFFF"/>
        <w:ind w:left="0" w:firstLine="420"/>
        <w:jc w:val="left"/>
        <w:rPr>
          <w:rFonts w:hint="default" w:ascii="仿宋" w:hAnsi="仿宋" w:eastAsia="仿宋" w:cs="仿宋"/>
          <w:i w:val="0"/>
          <w:iCs w:val="0"/>
          <w:caps w:val="0"/>
          <w:color w:val="404040"/>
          <w:spacing w:val="0"/>
          <w:kern w:val="0"/>
          <w:sz w:val="30"/>
          <w:szCs w:val="30"/>
          <w:lang w:val="en-US" w:eastAsia="zh-CN" w:bidi="ar"/>
        </w:rPr>
      </w:pPr>
    </w:p>
    <w:p w14:paraId="4F1B7DC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</w:rPr>
        <w:t>二、招聘</w:t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lang w:val="en-US" w:eastAsia="zh-CN"/>
        </w:rPr>
        <w:t>专业</w:t>
      </w:r>
    </w:p>
    <w:p w14:paraId="1497F32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30"/>
        <w:jc w:val="both"/>
        <w:rPr>
          <w:rFonts w:hint="default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lang w:val="en-US" w:eastAsia="zh-CN"/>
        </w:rPr>
        <w:t>能源动力类、电气类、自动化类、控制类、机械类、仪器类、金属材料、材料类、土木类、安全类、核工程类、核燃料、核物理、化学、电力市场营销、数学、统计学、财务类、经济学类、计算机类、电子信息类、工程管理类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lang w:val="en-US" w:eastAsia="zh-CN"/>
        </w:rPr>
        <w:t>等相关专业</w:t>
      </w:r>
    </w:p>
    <w:p w14:paraId="5025C86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</w:rPr>
        <w:t>三、招聘条件</w:t>
      </w:r>
    </w:p>
    <w:p w14:paraId="7B629EB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（一）</w:t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基本条件</w:t>
      </w:r>
    </w:p>
    <w:p w14:paraId="4E11A65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</w:rPr>
        <w:t>1、爱岗敬业，事业心强、作风正派、廉洁自律；</w:t>
      </w:r>
    </w:p>
    <w:p w14:paraId="52B53FF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</w:rPr>
        <w:t>2、具有良好的组织协调能力、语言和文字表达能力、分析能力和执行能力；</w:t>
      </w:r>
    </w:p>
    <w:p w14:paraId="669FF72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</w:rPr>
        <w:t>3、具有现代企业专业技术和业务水平，熟练掌握办公软件应用；</w:t>
      </w:r>
    </w:p>
    <w:p w14:paraId="614FD1F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</w:rPr>
        <w:t>4、具有全日制大学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</w:rPr>
        <w:t>科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lang w:val="en-US" w:eastAsia="zh-CN"/>
        </w:rPr>
        <w:t>及以上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</w:rPr>
        <w:t>学历</w:t>
      </w:r>
    </w:p>
    <w:p w14:paraId="0410158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</w:rPr>
        <w:t>5、具有与岗位一致或相近的专业技术职称和执（职）业资格。</w:t>
      </w:r>
    </w:p>
    <w:p w14:paraId="1FCB2B2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（二）岗位职责与资格条件</w:t>
      </w:r>
    </w:p>
    <w:p w14:paraId="6034B40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应聘者应符合申报岗位的任职资格。招聘岗位名称、主要职责及任职要求详见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shd w:val="clear" w:fill="FFFFFF"/>
          <w:lang w:val="en-US" w:eastAsia="zh-CN"/>
        </w:rPr>
        <w:t>投递二维码，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特别优秀的可适当放宽条件。</w:t>
      </w:r>
    </w:p>
    <w:p w14:paraId="0366F5F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四、招聘程序</w:t>
      </w:r>
    </w:p>
    <w:p w14:paraId="15048B9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0"/>
          <w:szCs w:val="30"/>
          <w:shd w:val="clear" w:fill="FFFFFF"/>
        </w:rPr>
        <w:t>接受报名、资格审查、综合评价、考核或考察、招聘审批、结果公示、办理手续。</w:t>
      </w:r>
    </w:p>
    <w:p w14:paraId="5BE40A0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</w:rPr>
        <w:t>五、</w:t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lang w:val="en-US" w:eastAsia="zh-CN"/>
        </w:rPr>
        <w:t>招聘岗位及</w:t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</w:rPr>
        <w:t>报名方式</w:t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lang w:eastAsia="zh-CN"/>
        </w:rPr>
        <w:t>：</w:t>
      </w:r>
    </w:p>
    <w:p w14:paraId="3C89070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drawing>
          <wp:inline distT="0" distB="0" distL="114300" distR="114300">
            <wp:extent cx="2177415" cy="2177415"/>
            <wp:effectExtent l="0" t="0" r="13335" b="13335"/>
            <wp:docPr id="2" name="图片 2" descr="页面 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页面 1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7F271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lang w:eastAsia="zh-CN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lang w:val="en-US" w:eastAsia="zh-CN"/>
        </w:rPr>
        <w:t>推广海报</w:t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lang w:eastAsia="zh-CN"/>
        </w:rPr>
        <w:t>：</w:t>
      </w:r>
    </w:p>
    <w:p w14:paraId="4ED33FC0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645" w:leftChars="0" w:right="0" w:rightChars="0"/>
        <w:jc w:val="both"/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404040"/>
          <w:spacing w:val="0"/>
          <w:sz w:val="30"/>
          <w:szCs w:val="30"/>
          <w:lang w:eastAsia="zh-CN"/>
        </w:rPr>
      </w:pPr>
    </w:p>
    <w:p w14:paraId="531EBB8F"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drawing>
          <wp:inline distT="0" distB="0" distL="114300" distR="114300">
            <wp:extent cx="2929255" cy="8845550"/>
            <wp:effectExtent l="0" t="0" r="4445" b="12700"/>
            <wp:docPr id="1" name="图片 1" descr="国家电力投资集团有限公司202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国家电力投资集团有限公司2027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9255" cy="884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906563"/>
    <w:multiLevelType w:val="singleLevel"/>
    <w:tmpl w:val="4890656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Y2FlYjI2NTkwMmRhMDNhN2I2YTQ4NDFiNGY3ODQifQ=="/>
  </w:docVars>
  <w:rsids>
    <w:rsidRoot w:val="00000000"/>
    <w:rsid w:val="1BCD6490"/>
    <w:rsid w:val="2053111B"/>
    <w:rsid w:val="23D748F4"/>
    <w:rsid w:val="2D637F86"/>
    <w:rsid w:val="3FE121F3"/>
    <w:rsid w:val="49D04E27"/>
    <w:rsid w:val="50DB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748</Words>
  <Characters>774</Characters>
  <Lines>0</Lines>
  <Paragraphs>0</Paragraphs>
  <TotalTime>2</TotalTime>
  <ScaleCrop>false</ScaleCrop>
  <LinksUpToDate>false</LinksUpToDate>
  <CharactersWithSpaces>774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2024-11-13T07:53:00Z</dcterms:created>
  <dc:creator>Administrator</dc:creator>
  <cp:lastModifiedBy>星星</cp:lastModifiedBy>
  <dcterms:modified xsi:type="dcterms:W3CDTF">2026-09-10T06:21:13Z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BF7BCEC60ECC430493EC132FC37062D8_13</vt:lpwstr>
  </property>
  <property fmtid="{D5CDD505-2E9C-101B-9397-08002B2CF9AE}" pid="4" name="KSOTemplateDocerSaveRecord">
    <vt:lpwstr>eyJoZGlkIjoiNGE0Y2FlYjI2NTkwMmRhMDNhN2I2YTQ4NDFiNGY3ODQiLCJ1c2VySWQiOiIxNzE4OTg2MTA4In0=</vt:lpwstr>
  </property>
</Properties>
</file>